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640" w:firstLineChars="200"/>
        <w:rPr>
          <w:rFonts w:ascii="Times New Roman" w:hAnsi="Times New Roman"/>
        </w:rPr>
      </w:pPr>
      <w:bookmarkStart w:id="0" w:name="_Toc5141"/>
      <w:r>
        <w:rPr>
          <w:rFonts w:hint="eastAsia" w:ascii="Times New Roman" w:hAnsi="Times New Roman"/>
        </w:rPr>
        <w:t>大数据与会计专业人才</w:t>
      </w:r>
      <w:r>
        <w:rPr>
          <w:rFonts w:ascii="Times New Roman" w:hAnsi="Times New Roman"/>
        </w:rPr>
        <w:t>培养方案</w:t>
      </w:r>
      <w:bookmarkEnd w:id="0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bookmarkStart w:id="1" w:name="_Toc67644309"/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hint="eastAsia" w:ascii="Times New Roman" w:hAnsi="Times New Roman" w:eastAsia="黑体"/>
          <w:sz w:val="28"/>
          <w:szCs w:val="28"/>
        </w:rPr>
        <w:t>专业及层次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专业名称：大数据与会计，专业类别：财务会计类，专业代码：530302，</w:t>
      </w:r>
      <w:r>
        <w:rPr>
          <w:rFonts w:ascii="Times New Roman" w:hAnsi="Times New Roman"/>
          <w:sz w:val="24"/>
          <w:szCs w:val="24"/>
        </w:rPr>
        <w:t>层次：高起专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560" w:firstLineChars="200"/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黑体"/>
          <w:kern w:val="0"/>
          <w:sz w:val="28"/>
          <w:szCs w:val="28"/>
          <w:shd w:val="clear" w:color="auto" w:fill="FFFFFF"/>
        </w:rPr>
        <w:t>二</w:t>
      </w:r>
      <w:r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  <w:t>、培养目标</w:t>
      </w:r>
      <w:bookmarkEnd w:id="1"/>
    </w:p>
    <w:p>
      <w:pPr>
        <w:spacing w:line="48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本专业以立德树人为根本，</w:t>
      </w:r>
      <w:r>
        <w:rPr>
          <w:rFonts w:hint="eastAsia" w:ascii="Times New Roman" w:hAnsi="Times New Roman"/>
          <w:sz w:val="24"/>
          <w:szCs w:val="24"/>
        </w:rPr>
        <w:t>以强农兴农为己任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践行社会主义核心价值观，</w:t>
      </w:r>
      <w:r>
        <w:rPr>
          <w:rFonts w:ascii="Times New Roman" w:hAnsi="Times New Roman"/>
          <w:sz w:val="24"/>
          <w:szCs w:val="24"/>
        </w:rPr>
        <w:t>以技能培养为核心，以社会需求为目标，</w:t>
      </w:r>
      <w:r>
        <w:rPr>
          <w:rFonts w:hint="eastAsia" w:ascii="宋体" w:hAnsi="宋体"/>
          <w:color w:val="000000"/>
          <w:sz w:val="24"/>
          <w:lang w:eastAsia="zh-CN"/>
        </w:rPr>
        <w:t>培养</w:t>
      </w:r>
      <w:r>
        <w:rPr>
          <w:rFonts w:hint="eastAsia" w:ascii="宋体" w:hAnsi="宋体"/>
          <w:color w:val="000000"/>
          <w:sz w:val="24"/>
        </w:rPr>
        <w:t>具备</w:t>
      </w:r>
      <w:r>
        <w:rPr>
          <w:rFonts w:hint="eastAsia" w:ascii="宋体" w:hAnsi="宋体"/>
          <w:color w:val="000000"/>
          <w:sz w:val="24"/>
          <w:lang w:eastAsia="zh-CN"/>
        </w:rPr>
        <w:t>初级会计专业技术资格</w:t>
      </w:r>
      <w:r>
        <w:rPr>
          <w:rFonts w:hint="eastAsia" w:ascii="宋体" w:hAnsi="宋体"/>
          <w:color w:val="000000"/>
          <w:sz w:val="24"/>
        </w:rPr>
        <w:t>，具有良好的职业素养和道德观念，掌握或熟悉企业会计核算的一般程序和基本理论、具备财会岗位群的操作知识、能力、素质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在基层积累多年工作经验后，通过努力取得中、高级专业职称，可提升至会计主管、财务主管岗位从事专业管理工作</w:t>
      </w:r>
      <w:r>
        <w:rPr>
          <w:rFonts w:hint="eastAsia" w:ascii="宋体" w:hAnsi="宋体"/>
          <w:sz w:val="24"/>
          <w:lang w:eastAsia="zh-CN"/>
        </w:rPr>
        <w:t>的应用型专门人才</w:t>
      </w:r>
      <w:r>
        <w:rPr>
          <w:rFonts w:hint="eastAsia" w:ascii="宋体" w:hAnsi="宋体"/>
          <w:sz w:val="24"/>
        </w:rPr>
        <w:t>。同时也培养面向会计师事务所、代理记账公司等会计、审计服务中介机构的审计或税务鉴证岗位、会计或税务咨询岗位。</w:t>
      </w:r>
      <w:r>
        <w:rPr>
          <w:rFonts w:hint="eastAsia" w:ascii="宋体" w:hAnsi="宋体"/>
          <w:color w:val="000000"/>
          <w:sz w:val="24"/>
        </w:rPr>
        <w:t>面向生产、建设、服务、管理第一线岗位需要的，德、智、体、美等方面全面发展的高素质技能型专门人才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560" w:firstLineChars="200"/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</w:pPr>
      <w:bookmarkStart w:id="2" w:name="_Toc67644310"/>
      <w:r>
        <w:rPr>
          <w:rFonts w:hint="eastAsia" w:ascii="Times New Roman" w:hAnsi="Times New Roman" w:eastAsia="黑体"/>
          <w:kern w:val="0"/>
          <w:sz w:val="28"/>
          <w:szCs w:val="28"/>
          <w:shd w:val="clear" w:color="auto" w:fill="FFFFFF"/>
        </w:rPr>
        <w:t>三</w:t>
      </w:r>
      <w:r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  <w:t>、培养要求</w:t>
      </w:r>
      <w:bookmarkEnd w:id="2"/>
    </w:p>
    <w:p>
      <w:pPr>
        <w:spacing w:line="460" w:lineRule="exact"/>
        <w:ind w:firstLine="482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kern w:val="0"/>
          <w:sz w:val="24"/>
          <w:shd w:val="clear" w:color="auto" w:fill="FFFFFF"/>
        </w:rPr>
        <w:t>毕业生应具备以下几方面的知识、能力和素质：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仿宋"/>
          <w:b/>
          <w:bCs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1.素质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(1)坚定拥护中国共产党领导和我国社会主义制度，在习近平新时代中国特色社会主义思想指引下，践行社会主义核心价值观，具有深厚的爱国情感和中华民族自豪感。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(2)崇尚宪法、遵法守纪、崇德向善、诚实守信、尊重生命、热爱劳动，履行道德准则和行为规范，具有社会责任感和社会参与意识。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(3)具有质量意识、环保意识、安全意识、信息素养、工匠精神、创新思维。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(4)勇于奋斗、乐观向上，具有自我管理能力、职业生涯规划的意识，有较强的集体意识和团队合作精神。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(5)具有健康的体魄、心理和健全的人格，掌握基本运动知识和1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>2项运动技能，养成良好的健身与卫生习惯，以及良好的行为习惯。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仿宋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(6)具有一定的审美和人文素养，能够形成1</w:t>
      </w:r>
      <w:r>
        <w:rPr>
          <w:rFonts w:hint="eastAsia" w:ascii="宋体" w:hAnsi="宋体" w:cs="宋体"/>
          <w:sz w:val="24"/>
          <w:szCs w:val="24"/>
        </w:rPr>
        <w:t>～</w:t>
      </w:r>
      <w:r>
        <w:rPr>
          <w:rFonts w:ascii="宋体" w:hAnsi="宋体" w:cs="宋体"/>
          <w:sz w:val="24"/>
          <w:szCs w:val="24"/>
        </w:rPr>
        <w:t>2项艺术特长或爱好。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宋体" w:hAnsi="宋体" w:cs="仿宋"/>
          <w:b/>
          <w:bCs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2.知识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</w:t>
      </w:r>
      <w:r>
        <w:rPr>
          <w:rFonts w:ascii="宋体" w:hAnsi="宋体" w:cs="宋体"/>
          <w:sz w:val="24"/>
          <w:szCs w:val="24"/>
        </w:rPr>
        <w:t>掌握必备的思想政治理论、科学文化基础知识和中华优秀传统文化知识。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</w:t>
      </w:r>
      <w:r>
        <w:rPr>
          <w:rFonts w:ascii="宋体" w:hAnsi="宋体" w:cs="宋体"/>
          <w:sz w:val="24"/>
          <w:szCs w:val="24"/>
        </w:rPr>
        <w:t>熟悉与本专业相关的法律法规以及环境保护、安全消防等知识。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</w:t>
      </w:r>
      <w:r>
        <w:rPr>
          <w:rFonts w:ascii="宋体" w:hAnsi="宋体" w:cs="宋体"/>
          <w:sz w:val="24"/>
          <w:szCs w:val="24"/>
        </w:rPr>
        <w:t>掌握计算机应用、网络技术的基本理论，</w:t>
      </w:r>
      <w:r>
        <w:rPr>
          <w:rFonts w:hint="eastAsia" w:ascii="宋体" w:hAnsi="宋体" w:cs="宋体"/>
          <w:sz w:val="24"/>
          <w:szCs w:val="24"/>
        </w:rPr>
        <w:t>会计</w:t>
      </w:r>
      <w:r>
        <w:rPr>
          <w:rFonts w:ascii="宋体" w:hAnsi="宋体" w:cs="宋体"/>
          <w:sz w:val="24"/>
          <w:szCs w:val="24"/>
        </w:rPr>
        <w:t>的基本理论以及新技术、新业态、新模式、创新创业相关知识。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（4）能参与企业会计制度等规章制度修订的讨论，会整理成最终成果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（5）能明辨各种经济业务原始单据的正确性、完整性、合理性和合法性</w:t>
      </w:r>
      <w:r>
        <w:rPr>
          <w:rFonts w:ascii="宋体" w:hAnsi="宋体" w:cs="宋体"/>
          <w:sz w:val="24"/>
          <w:szCs w:val="24"/>
        </w:rPr>
        <w:t>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（6）能正确判断各种原始单据所反映的经济业务内容、性质和类型</w:t>
      </w:r>
      <w:r>
        <w:rPr>
          <w:rFonts w:ascii="宋体" w:hAnsi="宋体" w:cs="宋体"/>
          <w:sz w:val="24"/>
          <w:szCs w:val="24"/>
        </w:rPr>
        <w:t>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（7）能按照会计规范正确处理各种经济业务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及时、完整提供会计信息。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（8）能结合各种产品、劳务和企业经营管理的特点和要求，采用灵活合理的方法正确计算产品和劳务的成本</w:t>
      </w:r>
      <w:r>
        <w:rPr>
          <w:rFonts w:ascii="宋体" w:hAnsi="宋体" w:cs="宋体"/>
          <w:sz w:val="24"/>
          <w:szCs w:val="24"/>
        </w:rPr>
        <w:t>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（9）能正确编制成本报表，根据成本报表分析成本升降的原因</w:t>
      </w:r>
      <w:r>
        <w:rPr>
          <w:rFonts w:ascii="宋体" w:hAnsi="宋体" w:cs="宋体"/>
          <w:sz w:val="24"/>
          <w:szCs w:val="24"/>
        </w:rPr>
        <w:t>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(10)能正确进行存货进、销、存的核算和管理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</w:rPr>
        <w:t>正确编制商品进销存日报表及其他各类财务报表。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(11)能熟练操作总账处理系统.</w:t>
      </w:r>
    </w:p>
    <w:p>
      <w:pPr>
        <w:spacing w:line="360" w:lineRule="auto"/>
        <w:ind w:firstLine="482" w:firstLineChars="200"/>
        <w:jc w:val="left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4"/>
          <w:szCs w:val="24"/>
        </w:rPr>
        <w:t>3.能力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（1）会计业务处理能力。能够填制凭证，登记账薄，编制和分析财务报表，完成单位全部会计核算工作。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（2）计算机操作能力。能够熟练掌握计算机系统的操作，常用办公软件、数据库管理系统、编程工具等软件的使用。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（3）将计算机技术和财务工作综合应用的能力。能熟练掌握常用财务软件的使用及日常维护，并能利用计算机作辅助财务分析工作。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（4）企业管理能力。具备商业交往、组织管理、与财政、税务、银行等职能部门的沟通能力。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）自我学习能力。具有良好的学习习惯，一定的抽象思维能力，较强的形象思维能力，逻辑思维能力，能够快速查阅专业的相关资料和文献，能够快速自学专业领域的一些前沿知识和技能。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6</w:t>
      </w:r>
      <w:r>
        <w:rPr>
          <w:rFonts w:ascii="宋体" w:hAnsi="宋体" w:cs="宋体"/>
          <w:sz w:val="24"/>
          <w:szCs w:val="24"/>
        </w:rPr>
        <w:t>）信息处理、数字应用能力。能根据专业领域的需要，运用多种媒介、多种方式采集、提炼、加工、整理信息。掌握专业所需的计算方法，计算来的数据，并对专业问题进行分析、预测和评价。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）实践动手能力。能综合运用所学专业知识，及时、正确地处理生产中存在的各种问题，能积极主动地解决所在岗位的技术难题。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8</w:t>
      </w:r>
      <w:r>
        <w:rPr>
          <w:rFonts w:ascii="宋体" w:hAnsi="宋体" w:cs="宋体"/>
          <w:sz w:val="24"/>
          <w:szCs w:val="24"/>
        </w:rPr>
        <w:t>）与人交流能力。具有良好的心态和换位思考的宽广胸怀，尊重他人，诚以待人，能够敏锐发现共同的话题和兴趣，运用巧妙的方式和对方沟通。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9</w:t>
      </w:r>
      <w:r>
        <w:rPr>
          <w:rFonts w:ascii="宋体" w:hAnsi="宋体" w:cs="宋体"/>
          <w:sz w:val="24"/>
          <w:szCs w:val="24"/>
        </w:rPr>
        <w:t>）与人合作能力。牢固树立团队利益高于个人利益的观点，尊重并理解他人的观点与处境，能评价和约束自己的行为，能综合地运用各种交流和沟通的方法进行合作。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10</w:t>
      </w:r>
      <w:r>
        <w:rPr>
          <w:rFonts w:ascii="宋体" w:hAnsi="宋体" w:cs="宋体"/>
          <w:sz w:val="24"/>
          <w:szCs w:val="24"/>
        </w:rPr>
        <w:t>）解决问题能力。具有发现问题，提出问题并运用所学的综合知识去努力思考、积极探索，并且创造性地解决问题的能力。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11</w:t>
      </w:r>
      <w:r>
        <w:rPr>
          <w:rFonts w:ascii="宋体" w:hAnsi="宋体" w:cs="宋体"/>
          <w:sz w:val="24"/>
          <w:szCs w:val="24"/>
        </w:rPr>
        <w:t>）革新创新能力。具有扎实的基础知识，精深的专业技能。以高超的学习能力，敢于冒险的勇气和敏锐洞察力，坚持不懈地发现问题和解决问题。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Times New Roman" w:hAnsi="Times New Roman"/>
          <w:sz w:val="24"/>
          <w:shd w:val="clear" w:color="auto" w:fill="FFFFFF"/>
        </w:rPr>
      </w:pPr>
      <w:r>
        <w:rPr>
          <w:rFonts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</w:rPr>
        <w:t>12</w:t>
      </w:r>
      <w:r>
        <w:rPr>
          <w:rFonts w:ascii="宋体" w:hAnsi="宋体" w:cs="宋体"/>
          <w:sz w:val="24"/>
          <w:szCs w:val="24"/>
        </w:rPr>
        <w:t>）外语应用能力。能够运用所学知识阅读本专业相关英文资料，能规范书写英文简历、总结、假条等应用文，能够进行简单的英语交流。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</w:t>
      </w:r>
      <w:r>
        <w:rPr>
          <w:rFonts w:ascii="Times New Roman" w:hAnsi="Times New Roman" w:eastAsia="黑体"/>
          <w:sz w:val="28"/>
          <w:szCs w:val="28"/>
        </w:rPr>
        <w:t>、学制、学习形式和修业年限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标准学制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学习形式：函授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修业年限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560" w:firstLineChars="200"/>
        <w:rPr>
          <w:rFonts w:ascii="Times New Roman" w:hAnsi="Times New Roman" w:eastAsia="黑体"/>
          <w:kern w:val="0"/>
          <w:sz w:val="28"/>
          <w:szCs w:val="28"/>
          <w:shd w:val="clear" w:color="auto" w:fill="FFFFFF"/>
        </w:rPr>
      </w:pPr>
      <w:bookmarkStart w:id="3" w:name="_Toc67644312"/>
      <w:r>
        <w:rPr>
          <w:rFonts w:hint="eastAsia" w:ascii="Times New Roman" w:hAnsi="Times New Roman" w:eastAsia="黑体"/>
          <w:kern w:val="0"/>
          <w:sz w:val="28"/>
          <w:szCs w:val="28"/>
          <w:shd w:val="clear" w:color="auto" w:fill="FFFFFF"/>
        </w:rPr>
        <w:t>五、核心课程</w:t>
      </w:r>
      <w:bookmarkEnd w:id="3"/>
    </w:p>
    <w:p>
      <w:pPr>
        <w:spacing w:line="460" w:lineRule="exact"/>
        <w:ind w:firstLine="480" w:firstLineChars="200"/>
        <w:rPr>
          <w:rFonts w:hint="eastAsia" w:ascii="Times New Roman" w:hAnsi="Times New Roman"/>
          <w:kern w:val="0"/>
          <w:sz w:val="24"/>
          <w:shd w:val="clear" w:color="auto" w:fill="FFFFFF"/>
        </w:rPr>
      </w:pPr>
      <w:bookmarkStart w:id="4" w:name="OLE_LINK1"/>
      <w:r>
        <w:rPr>
          <w:rFonts w:hint="eastAsia" w:ascii="Times New Roman" w:hAnsi="Times New Roman" w:cs="Times New Roman"/>
          <w:kern w:val="0"/>
          <w:sz w:val="24"/>
          <w:shd w:val="clear" w:color="auto" w:fill="FFFFFF"/>
        </w:rPr>
        <w:t>财务会计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</w:rPr>
        <w:t>成本核算与管理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</w:rPr>
        <w:t>税法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</w:rPr>
        <w:t>财务管理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</w:rPr>
        <w:t>财务报表分析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</w:rPr>
        <w:t>会计信息系统应用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cs="Times New Roman"/>
          <w:kern w:val="0"/>
          <w:sz w:val="24"/>
          <w:shd w:val="clear" w:color="auto" w:fill="FFFFFF"/>
        </w:rPr>
        <w:t>审计。</w:t>
      </w:r>
      <w:bookmarkEnd w:id="4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六、毕业要求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在规定的学习年限内完成本专业人才培养方案规定的</w:t>
      </w:r>
      <w:r>
        <w:rPr>
          <w:rFonts w:hint="eastAsia" w:ascii="Times New Roman" w:hAnsi="Times New Roman"/>
          <w:sz w:val="24"/>
          <w:szCs w:val="24"/>
        </w:rPr>
        <w:t>全部课程</w:t>
      </w:r>
      <w:r>
        <w:rPr>
          <w:rFonts w:ascii="Times New Roman" w:hAnsi="Times New Roman"/>
          <w:sz w:val="24"/>
          <w:szCs w:val="24"/>
        </w:rPr>
        <w:t>，经考核成绩合格并获得</w:t>
      </w: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</w:rPr>
        <w:t>100</w:t>
      </w:r>
      <w:r>
        <w:rPr>
          <w:rFonts w:ascii="Times New Roman" w:hAnsi="Times New Roman"/>
          <w:sz w:val="24"/>
          <w:szCs w:val="24"/>
        </w:rPr>
        <w:t>个学分，</w:t>
      </w:r>
      <w:r>
        <w:rPr>
          <w:rFonts w:hint="eastAsia" w:ascii="Times New Roman" w:hAnsi="Times New Roman"/>
          <w:sz w:val="24"/>
          <w:szCs w:val="24"/>
        </w:rPr>
        <w:t>颁</w:t>
      </w:r>
      <w:r>
        <w:rPr>
          <w:rFonts w:ascii="Times New Roman" w:hAnsi="Times New Roman"/>
          <w:sz w:val="24"/>
          <w:szCs w:val="24"/>
        </w:rPr>
        <w:t>发</w:t>
      </w:r>
      <w:r>
        <w:rPr>
          <w:rFonts w:hint="eastAsia" w:ascii="Times New Roman" w:hAnsi="Times New Roman"/>
          <w:sz w:val="24"/>
          <w:szCs w:val="24"/>
        </w:rPr>
        <w:t>江西</w:t>
      </w:r>
      <w:r>
        <w:rPr>
          <w:rFonts w:ascii="Times New Roman" w:hAnsi="Times New Roman"/>
          <w:sz w:val="24"/>
          <w:szCs w:val="24"/>
        </w:rPr>
        <w:t>农业大学成人高等教育毕业证书。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七、报考条件及招生范围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本专业报考条件，参加统考、单考，免试入学条件</w:t>
      </w:r>
      <w:r>
        <w:rPr>
          <w:rFonts w:hint="eastAsia" w:ascii="Times New Roman" w:hAnsi="Times New Roman"/>
          <w:sz w:val="24"/>
          <w:szCs w:val="24"/>
        </w:rPr>
        <w:t>遵照江西省教育考试院招生考试文件精神执行；招生范围为江西省。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、专业教学进程表</w:t>
      </w:r>
      <w:r>
        <w:rPr>
          <w:rFonts w:ascii="Times New Roman" w:hAnsi="Times New Roman"/>
          <w:sz w:val="24"/>
          <w:szCs w:val="24"/>
        </w:rPr>
        <w:t>（见附表1）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九、专业课程主讲教师配备表</w:t>
      </w:r>
      <w:r>
        <w:rPr>
          <w:rFonts w:ascii="Times New Roman" w:hAnsi="Times New Roman"/>
          <w:sz w:val="24"/>
          <w:szCs w:val="24"/>
        </w:rPr>
        <w:t>（见附表2）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建议教材与自学参考书目一览表</w:t>
      </w:r>
      <w:r>
        <w:rPr>
          <w:rFonts w:ascii="Times New Roman" w:hAnsi="Times New Roman"/>
          <w:sz w:val="24"/>
          <w:szCs w:val="24"/>
        </w:rPr>
        <w:t>（见附表3）</w:t>
      </w:r>
    </w:p>
    <w:p>
      <w:pPr>
        <w:spacing w:line="360" w:lineRule="auto"/>
        <w:rPr>
          <w:rFonts w:hint="eastAsia" w:ascii="Times New Roman" w:hAnsi="Times New Roman"/>
          <w:kern w:val="0"/>
        </w:rPr>
      </w:pPr>
    </w:p>
    <w:p>
      <w:pPr>
        <w:spacing w:line="360" w:lineRule="auto"/>
        <w:rPr>
          <w:rFonts w:hint="eastAsia" w:ascii="Times New Roman" w:hAnsi="Times New Roman"/>
          <w:kern w:val="0"/>
        </w:rPr>
      </w:pPr>
      <w:bookmarkStart w:id="7" w:name="_GoBack"/>
      <w:bookmarkEnd w:id="7"/>
    </w:p>
    <w:tbl>
      <w:tblPr>
        <w:tblW w:w="11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528"/>
        <w:gridCol w:w="846"/>
        <w:gridCol w:w="2150"/>
        <w:gridCol w:w="647"/>
        <w:gridCol w:w="664"/>
        <w:gridCol w:w="716"/>
        <w:gridCol w:w="716"/>
        <w:gridCol w:w="616"/>
        <w:gridCol w:w="432"/>
        <w:gridCol w:w="432"/>
        <w:gridCol w:w="432"/>
        <w:gridCol w:w="432"/>
        <w:gridCol w:w="432"/>
        <w:gridCol w:w="432"/>
        <w:gridCol w:w="436"/>
        <w:gridCol w:w="436"/>
        <w:gridCol w:w="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bdr w:val="none" w:color="auto" w:sz="0" w:space="0"/>
                <w:lang w:val="en-US" w:eastAsia="zh-CN" w:bidi="ar"/>
              </w:rPr>
              <w:t>附表</w:t>
            </w:r>
            <w:r>
              <w:rPr>
                <w:rStyle w:val="18"/>
                <w:rFonts w:eastAsia="黑体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大数据与会计专业（高起专）培养方案教学进程表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（课程设置、学时与比例及考核安排）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  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 程 名 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  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 学 时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学时分配</w:t>
            </w:r>
          </w:p>
        </w:tc>
        <w:tc>
          <w:tcPr>
            <w:tcW w:w="26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各学期面授学时分配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过程性考核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实验实训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闭卷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大学英语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计算机应用基础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大学生心理健康教育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基础会计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2023334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财经法规与会计职业道德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2023335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经济学原理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2023336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2023337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经济法基础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2023338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基础会计实务操作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2023339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经济数学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2023341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成本核算与管理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2023342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财务报表分析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管理会计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2023343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会计信息系统应用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审计学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2023344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Excel在财务中的应用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职业能力拓展课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2023345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商务谈判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现代企业管理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2023346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2023347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2023348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实践教学环节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入学教育与学习指导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毕业实习与社会调查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毕业论文（设计）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  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4.5%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黑体" w:cs="Arial"/>
          <w:kern w:val="0"/>
          <w:szCs w:val="21"/>
        </w:rPr>
      </w:pPr>
      <w:r>
        <w:rPr>
          <w:rFonts w:hint="eastAsia" w:ascii="Times New Roman" w:hAnsi="Times New Roman" w:eastAsia="黑体" w:cs="Arial"/>
          <w:kern w:val="0"/>
          <w:szCs w:val="21"/>
        </w:rPr>
        <w:t>（备注：</w:t>
      </w:r>
      <w:r>
        <w:rPr>
          <w:rFonts w:hint="eastAsia" w:ascii="Times New Roman" w:hAnsi="Times New Roman" w:eastAsia="黑体" w:cs="Arial"/>
          <w:kern w:val="0"/>
          <w:szCs w:val="21"/>
          <w:lang w:val="en-US" w:eastAsia="zh-CN"/>
        </w:rPr>
        <w:t>过程性考核成绩占总成绩比例50%。</w:t>
      </w:r>
      <w:r>
        <w:rPr>
          <w:rFonts w:hint="eastAsia" w:ascii="Times New Roman" w:hAnsi="Times New Roman" w:eastAsia="黑体" w:cs="Arial"/>
          <w:kern w:val="0"/>
          <w:szCs w:val="21"/>
        </w:rPr>
        <w:t>）</w:t>
      </w:r>
    </w:p>
    <w:p>
      <w:pPr>
        <w:pStyle w:val="2"/>
      </w:pPr>
    </w:p>
    <w:p>
      <w:pPr>
        <w:spacing w:beforeLines="50"/>
        <w:ind w:firstLine="420" w:firstLineChars="200"/>
        <w:jc w:val="left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附表2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</w:rPr>
        <w:t>大数据与会计（高起专）</w:t>
      </w:r>
      <w:r>
        <w:rPr>
          <w:rFonts w:ascii="Times New Roman" w:hAnsi="Times New Roman" w:eastAsia="黑体"/>
          <w:kern w:val="0"/>
          <w:sz w:val="28"/>
          <w:szCs w:val="28"/>
        </w:rPr>
        <w:t>专业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课程主讲教师</w:t>
      </w:r>
      <w:r>
        <w:rPr>
          <w:rFonts w:ascii="Times New Roman" w:hAnsi="Times New Roman" w:eastAsia="黑体"/>
          <w:kern w:val="0"/>
          <w:sz w:val="28"/>
          <w:szCs w:val="28"/>
        </w:rPr>
        <w:t>配备表</w:t>
      </w:r>
    </w:p>
    <w:tbl>
      <w:tblPr>
        <w:tblStyle w:val="7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851"/>
        <w:gridCol w:w="1276"/>
        <w:gridCol w:w="1559"/>
        <w:gridCol w:w="1477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   校   专   职   教   师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出生年月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职称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/技能等级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最高学历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所任课程名称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张征华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1976.12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纳税实务、涉农会计与财务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林斌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1971.11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张春美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1969.04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张小有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1970.08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教授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会计信息系统应用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吴文军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1968.07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中国会计文化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李霞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1970.12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副教授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基础会计、企业内部控制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吴丽萍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1984.09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审计基础与实务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金晶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1982.04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企业财务管理、管理会计基础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肖小玮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1978.11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农业企业经营管理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胡文捷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1983.03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金融企业会计、成本核算与管理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万梦书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1988.05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ERP业财一体化、ERP沙盘模拟训练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邓平华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男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1978.09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5" w:name="OLE_LINK3"/>
            <w:r>
              <w:rPr>
                <w:rFonts w:hint="eastAsia" w:ascii="Times New Roman" w:hAnsi="Times New Roman"/>
                <w:szCs w:val="21"/>
              </w:rPr>
              <w:t>企业财务分析、</w:t>
            </w:r>
            <w:bookmarkEnd w:id="5"/>
            <w:r>
              <w:rPr>
                <w:rFonts w:hint="eastAsia" w:ascii="Times New Roman" w:hAnsi="Times New Roman"/>
                <w:szCs w:val="21"/>
              </w:rPr>
              <w:t>纳税实务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冯倩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1987.05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企业财务分析、中国会计文化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熊翅新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1979.03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讲师</w:t>
            </w:r>
          </w:p>
        </w:tc>
        <w:tc>
          <w:tcPr>
            <w:tcW w:w="147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271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EXCEL财务应用</w:t>
            </w:r>
          </w:p>
        </w:tc>
      </w:tr>
    </w:tbl>
    <w:p>
      <w:pPr>
        <w:spacing w:beforeLines="50"/>
        <w:ind w:firstLine="420" w:firstLineChars="200"/>
        <w:rPr>
          <w:rFonts w:hint="eastAsia" w:ascii="Times New Roman" w:hAnsi="Times New Roman"/>
          <w:kern w:val="0"/>
        </w:rPr>
      </w:pPr>
      <w:r>
        <w:rPr>
          <w:rFonts w:ascii="Times New Roman" w:hAnsi="Times New Roman"/>
          <w:kern w:val="0"/>
          <w:szCs w:val="21"/>
        </w:rPr>
        <w:t>备注：校外兼职教师可以是与专业密切相关的企业行业技能工匠、技能大师等。</w:t>
      </w:r>
    </w:p>
    <w:p>
      <w:pPr>
        <w:spacing w:beforeLines="50"/>
        <w:ind w:firstLine="420" w:firstLineChars="200"/>
        <w:rPr>
          <w:rFonts w:hint="eastAsia" w:ascii="Times New Roman" w:hAnsi="Times New Roman"/>
          <w:kern w:val="0"/>
        </w:rPr>
      </w:pPr>
    </w:p>
    <w:p>
      <w:pPr>
        <w:spacing w:beforeLines="50"/>
        <w:ind w:firstLine="420" w:firstLineChars="200"/>
        <w:rPr>
          <w:rFonts w:hint="eastAsia" w:ascii="Times New Roman" w:hAnsi="Times New Roman"/>
          <w:kern w:val="0"/>
        </w:rPr>
      </w:pPr>
    </w:p>
    <w:p>
      <w:pPr>
        <w:spacing w:beforeLines="50"/>
        <w:ind w:firstLine="480" w:firstLineChars="200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 w:eastAsia="黑体" w:cs="Arial"/>
          <w:kern w:val="0"/>
          <w:sz w:val="24"/>
          <w:szCs w:val="24"/>
        </w:rPr>
        <w:t>附表3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</w:rPr>
        <w:t>大数据与会计（高起专）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建议教材与自学参考书目一览表</w:t>
      </w:r>
    </w:p>
    <w:tbl>
      <w:tblPr>
        <w:tblStyle w:val="7"/>
        <w:tblW w:w="9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229"/>
        <w:gridCol w:w="1315"/>
        <w:gridCol w:w="2883"/>
        <w:gridCol w:w="567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教材名称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出版社、出版年、ISBN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选用</w:t>
            </w:r>
          </w:p>
        </w:tc>
        <w:tc>
          <w:tcPr>
            <w:tcW w:w="638" w:type="dxa"/>
            <w:noWrap/>
            <w:vAlign w:val="center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自学</w:t>
            </w:r>
          </w:p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马克思主义基本原理概论</w:t>
            </w:r>
          </w:p>
        </w:tc>
        <w:tc>
          <w:tcPr>
            <w:tcW w:w="22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131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本书编写组</w:t>
            </w:r>
          </w:p>
        </w:tc>
        <w:tc>
          <w:tcPr>
            <w:tcW w:w="288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高等教育出版社，</w:t>
            </w:r>
            <w:r>
              <w:rPr>
                <w:rFonts w:hint="eastAsia" w:ascii="Times New Roman" w:hAnsi="Times New Roman"/>
                <w:sz w:val="18"/>
                <w:szCs w:val="18"/>
              </w:rPr>
              <w:t>2018</w:t>
            </w:r>
            <w:r>
              <w:rPr>
                <w:rFonts w:ascii="Times New Roman" w:hAnsi="Times New Roman"/>
                <w:sz w:val="18"/>
                <w:szCs w:val="18"/>
              </w:rPr>
              <w:t>年版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978-704-049-479-2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基础会计</w:t>
            </w:r>
          </w:p>
        </w:tc>
        <w:tc>
          <w:tcPr>
            <w:tcW w:w="22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基础会计</w:t>
            </w:r>
          </w:p>
        </w:tc>
        <w:tc>
          <w:tcPr>
            <w:tcW w:w="131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王辉</w:t>
            </w:r>
          </w:p>
        </w:tc>
        <w:tc>
          <w:tcPr>
            <w:tcW w:w="288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中国人民大学出版社，2019年版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978-7-300-27038-8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企业财务会计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财务会计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王国生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中国人民大学出版社，2021年版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978-7-300-28964-9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企业</w:t>
            </w:r>
            <w:r>
              <w:rPr>
                <w:rFonts w:ascii="Times New Roman" w:hAnsi="Times New Roman"/>
                <w:sz w:val="18"/>
                <w:szCs w:val="18"/>
              </w:rPr>
              <w:t>财务管理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财务管理</w:t>
            </w:r>
          </w:p>
        </w:tc>
        <w:tc>
          <w:tcPr>
            <w:tcW w:w="131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严成根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中国人民大学出版社，2021年版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978-7-300-27798-1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纳税实务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税法与纳税实务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王玉娟，田春红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中国人民大学出版社，2021年版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ISBN：978-7-300-29857-3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成本核算与管理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成本核算与管理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伊娜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中国人民大学出版社，2021年版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ISBN：978-7-300-28904-5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审计</w:t>
            </w:r>
            <w:r>
              <w:rPr>
                <w:rFonts w:hint="eastAsia" w:ascii="Times New Roman" w:hAnsi="Times New Roman"/>
                <w:sz w:val="18"/>
                <w:szCs w:val="18"/>
              </w:rPr>
              <w:t>基础与实务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审计基础与实务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王宏，林冬梅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中国人民大学出版社，2020年版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978-7-300-28011-0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会计信息系统</w:t>
            </w:r>
            <w:r>
              <w:rPr>
                <w:rFonts w:hint="eastAsia" w:ascii="Times New Roman" w:hAnsi="Times New Roman"/>
                <w:sz w:val="18"/>
                <w:szCs w:val="18"/>
              </w:rPr>
              <w:t>应用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会计信息系统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许泽想，杨林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吉林大学出版社，2021年版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978-756-778-728-5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ERP业财一体化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ERP财务业务一体化应用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魏世和，陈祥禧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南京大学出版社，2019年版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978-730-513-752-5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管理会计基础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管理会计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徐艳，张俊清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6" w:name="OLE_LINK4"/>
            <w:r>
              <w:rPr>
                <w:rFonts w:hint="eastAsia" w:ascii="Times New Roman" w:hAnsi="Times New Roman"/>
                <w:sz w:val="18"/>
                <w:szCs w:val="18"/>
              </w:rPr>
              <w:t>中国人民大学出版社，2021年版</w:t>
            </w:r>
            <w:bookmarkEnd w:id="6"/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978-7-300-28515-3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EXCEL财务应用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EXCEL在财务中的应用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张高胜、杨婷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吉林大学出版社，2021年版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978-756-779-730-7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涉农会计与财务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村集体经济组织会计实务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于善雨，滕敬平，李连群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中国农业科学技术出版社，2018年版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978-751-163-670-6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农业企业经营管理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农业企业经营管理学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 xml:space="preserve">蔡根女 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978-704-041-342-7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ERP沙盘模拟训练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ERP沙盘模拟经营实战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朱伟，程兆兆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中国人民大学出版社，2021年版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978-7-300-28807-9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经济学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经济学原理与应用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王晓娜，王铁桩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中中国人民大学出版社，2021年版</w:t>
            </w:r>
          </w:p>
          <w:p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978-7-300-28777-5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金融企业会计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金融企业会计</w:t>
            </w:r>
          </w:p>
        </w:tc>
        <w:tc>
          <w:tcPr>
            <w:tcW w:w="1315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刘琦、高惠、周丹妮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清华大学出版社，2021年版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9787302577416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企业财务分析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财务报表分析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张新民，钱爱民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中国人民大学出版社，2019年版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9787300271620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企业内部控制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企业内部控制与制度设计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张远录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中国人民大学出版社，2021年版</w:t>
            </w:r>
          </w:p>
          <w:p>
            <w:pPr>
              <w:tabs>
                <w:tab w:val="left" w:pos="76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978-7-300-29393-6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财经法规与会计职业道德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财经法规与会计职业道德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丁增稳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中国人民大学出版社，2021年版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978-7-300-29458-2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农村金融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农村金融学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董晓林，张龙耀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科学出版社，2021年版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9787030528858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政府与非营利组织会计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政府与非营利组织会计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张曾莲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机械工业出版社，2021年版I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9787111687122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中国会计文化</w:t>
            </w:r>
          </w:p>
        </w:tc>
        <w:tc>
          <w:tcPr>
            <w:tcW w:w="222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中国会计文化</w:t>
            </w:r>
          </w:p>
        </w:tc>
        <w:tc>
          <w:tcPr>
            <w:tcW w:w="131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赵丽生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高等教育出版社，2021年版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SBN：</w:t>
            </w:r>
            <w:r>
              <w:rPr>
                <w:rFonts w:hint="eastAsia" w:ascii="Times New Roman" w:hAnsi="Times New Roman"/>
                <w:sz w:val="18"/>
                <w:szCs w:val="18"/>
              </w:rPr>
              <w:t>978-704-057-082-3</w:t>
            </w:r>
          </w:p>
        </w:tc>
        <w:tc>
          <w:tcPr>
            <w:tcW w:w="56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63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起草执笔人：</w:t>
      </w:r>
      <w:r>
        <w:rPr>
          <w:rFonts w:hint="eastAsia" w:ascii="Times New Roman" w:hAnsi="Times New Roman"/>
        </w:rPr>
        <w:t xml:space="preserve">继续教育学院                       </w:t>
      </w:r>
      <w:r>
        <w:rPr>
          <w:rFonts w:ascii="Times New Roman" w:hAnsi="Times New Roman"/>
        </w:rPr>
        <w:t>审核人：</w:t>
      </w:r>
      <w:r>
        <w:rPr>
          <w:rFonts w:hint="eastAsia" w:ascii="Times New Roman" w:hAnsi="Times New Roman"/>
        </w:rPr>
        <w:t>吴丽萍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wNzcxMGQwMzlhMTBhODJkNzJiODFlNWFmODI1OWQifQ=="/>
  </w:docVars>
  <w:rsids>
    <w:rsidRoot w:val="00CB6045"/>
    <w:rsid w:val="002B2A34"/>
    <w:rsid w:val="00340508"/>
    <w:rsid w:val="00455726"/>
    <w:rsid w:val="00557A0A"/>
    <w:rsid w:val="005F6938"/>
    <w:rsid w:val="00842708"/>
    <w:rsid w:val="00946D2F"/>
    <w:rsid w:val="00A3453A"/>
    <w:rsid w:val="00BC4110"/>
    <w:rsid w:val="00BC62B9"/>
    <w:rsid w:val="00BF6CF6"/>
    <w:rsid w:val="00C94417"/>
    <w:rsid w:val="00CB6045"/>
    <w:rsid w:val="00ED29EB"/>
    <w:rsid w:val="00F23BF1"/>
    <w:rsid w:val="00FB0C25"/>
    <w:rsid w:val="019B4BEE"/>
    <w:rsid w:val="01BC61EF"/>
    <w:rsid w:val="01C51963"/>
    <w:rsid w:val="02AB25FA"/>
    <w:rsid w:val="03515CF1"/>
    <w:rsid w:val="036363D4"/>
    <w:rsid w:val="06815787"/>
    <w:rsid w:val="07926D30"/>
    <w:rsid w:val="0AA91789"/>
    <w:rsid w:val="0D392E7B"/>
    <w:rsid w:val="0E1B410D"/>
    <w:rsid w:val="0F993C6C"/>
    <w:rsid w:val="17140B34"/>
    <w:rsid w:val="172B3A68"/>
    <w:rsid w:val="195E0573"/>
    <w:rsid w:val="1ABF394C"/>
    <w:rsid w:val="1B110E74"/>
    <w:rsid w:val="1C1B432C"/>
    <w:rsid w:val="1CD658F0"/>
    <w:rsid w:val="1DA349C3"/>
    <w:rsid w:val="1DE8432D"/>
    <w:rsid w:val="1EE64E75"/>
    <w:rsid w:val="204C351B"/>
    <w:rsid w:val="27E57A8A"/>
    <w:rsid w:val="2B10227B"/>
    <w:rsid w:val="2DCB72A8"/>
    <w:rsid w:val="33C26F9C"/>
    <w:rsid w:val="34267F65"/>
    <w:rsid w:val="36020B90"/>
    <w:rsid w:val="3F6B78BD"/>
    <w:rsid w:val="44DF4683"/>
    <w:rsid w:val="4608741C"/>
    <w:rsid w:val="48B82CBD"/>
    <w:rsid w:val="48F63D37"/>
    <w:rsid w:val="4E29360F"/>
    <w:rsid w:val="5385554A"/>
    <w:rsid w:val="56FF3019"/>
    <w:rsid w:val="58A636E2"/>
    <w:rsid w:val="591801FF"/>
    <w:rsid w:val="59FA5CEB"/>
    <w:rsid w:val="5CB5469D"/>
    <w:rsid w:val="5F2E4F58"/>
    <w:rsid w:val="67300952"/>
    <w:rsid w:val="695B28C2"/>
    <w:rsid w:val="6AF768BE"/>
    <w:rsid w:val="6F71610B"/>
    <w:rsid w:val="732C681D"/>
    <w:rsid w:val="74501F12"/>
    <w:rsid w:val="75C45E43"/>
    <w:rsid w:val="78A61682"/>
    <w:rsid w:val="78DE5549"/>
    <w:rsid w:val="7C9450BB"/>
    <w:rsid w:val="7DE6539C"/>
    <w:rsid w:val="7EBB73AB"/>
    <w:rsid w:val="7ED71E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黑体"/>
      <w:bCs/>
      <w:kern w:val="36"/>
      <w:sz w:val="44"/>
      <w:szCs w:val="48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360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2"/>
      <w:ind w:left="120"/>
    </w:pPr>
    <w:rPr>
      <w:rFonts w:ascii="宋体" w:hAnsi="宋体" w:eastAsia="宋体" w:cs="宋体"/>
      <w:sz w:val="24"/>
      <w:lang w:val="zh-CN" w:bidi="zh-CN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01"/>
    <w:basedOn w:val="8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2">
    <w:name w:val="font1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4">
    <w:name w:val="页眉 Char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8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font21"/>
    <w:basedOn w:val="8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7">
    <w:name w:val="font41"/>
    <w:basedOn w:val="8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8">
    <w:name w:val="font71"/>
    <w:basedOn w:val="8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703</Words>
  <Characters>4013</Characters>
  <Lines>33</Lines>
  <Paragraphs>9</Paragraphs>
  <TotalTime>1</TotalTime>
  <ScaleCrop>false</ScaleCrop>
  <LinksUpToDate>false</LinksUpToDate>
  <CharactersWithSpaces>4707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2022-01-02T02:58:00Z</dcterms:created>
  <dc:creator>ggq77</dc:creator>
  <cp:lastModifiedBy>江西农大王新龙</cp:lastModifiedBy>
  <dcterms:modified xsi:type="dcterms:W3CDTF">2023-02-08T07:57:33Z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C170E9E641FB4EF19C06928926312749</vt:lpwstr>
  </property>
</Properties>
</file>